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28"/>
          <w:szCs w:val="32"/>
        </w:rPr>
      </w:pPr>
      <w:r>
        <w:rPr>
          <w:rFonts w:hint="eastAsia" w:ascii="黑体" w:eastAsia="黑体"/>
          <w:sz w:val="28"/>
          <w:szCs w:val="32"/>
        </w:rPr>
        <w:t>医学院·整合医学学院“本科生导师制”导师情况登记表</w:t>
      </w:r>
    </w:p>
    <w:tbl>
      <w:tblPr>
        <w:tblStyle w:val="2"/>
        <w:tblW w:w="87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5"/>
        <w:gridCol w:w="1780"/>
        <w:gridCol w:w="786"/>
        <w:gridCol w:w="1866"/>
        <w:gridCol w:w="1247"/>
        <w:gridCol w:w="17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 名</w:t>
            </w:r>
          </w:p>
        </w:tc>
        <w:tc>
          <w:tcPr>
            <w:tcW w:w="1780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廖善婷</w:t>
            </w:r>
          </w:p>
        </w:tc>
        <w:tc>
          <w:tcPr>
            <w:tcW w:w="78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86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女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教研室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生化系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专业方向</w:t>
            </w:r>
          </w:p>
        </w:tc>
        <w:tc>
          <w:tcPr>
            <w:tcW w:w="7397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抗炎免疫药理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387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bookmarkStart w:id="0" w:name="_GoBack"/>
            <w:bookmarkEnd w:id="0"/>
            <w:r>
              <w:rPr>
                <w:rFonts w:hint="eastAsia" w:ascii="仿宋_GB2312" w:eastAsia="仿宋_GB2312"/>
                <w:sz w:val="24"/>
              </w:rPr>
              <w:t>意向带学生数（人）</w:t>
            </w:r>
          </w:p>
        </w:tc>
        <w:tc>
          <w:tcPr>
            <w:tcW w:w="483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0" w:hRule="atLeast"/>
        </w:trPr>
        <w:tc>
          <w:tcPr>
            <w:tcW w:w="8702" w:type="dxa"/>
            <w:gridSpan w:val="6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导师个人简介：</w:t>
            </w:r>
          </w:p>
          <w:p>
            <w:pPr>
              <w:ind w:firstLine="480" w:firstLineChars="2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博士，副教授。2020年6月毕业于中国药科大学，同年作为C类特聘教授进入南京中医药大学生物化学与分子生物学系工作。主要研究方向：固有免疫活化、炎症发生的细胞和分子机制以及药物研究；非酒精性脂肪性肝炎（NASH）、胆汁淤积以及肝纤维化等肝病的分子机制及干预策略。相关研究成果发表SCI论文6篇，其中包括</w:t>
            </w:r>
            <w:r>
              <w:rPr>
                <w:rFonts w:hint="eastAsia" w:ascii="仿宋_GB2312" w:eastAsia="仿宋_GB2312"/>
                <w:i/>
                <w:iCs/>
                <w:sz w:val="24"/>
              </w:rPr>
              <w:t>Nature Communications, Pharmacological Research</w:t>
            </w:r>
            <w:r>
              <w:rPr>
                <w:rFonts w:hint="eastAsia" w:ascii="仿宋_GB2312" w:eastAsia="仿宋_GB2312"/>
                <w:sz w:val="24"/>
              </w:rPr>
              <w:t>等著名期刊。承担生物化学与分子生物学理论课及实验课的教学工作。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1" w:hRule="atLeast"/>
        </w:trPr>
        <w:tc>
          <w:tcPr>
            <w:tcW w:w="8702" w:type="dxa"/>
            <w:gridSpan w:val="6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对培养对象的要求与意愿：</w:t>
            </w:r>
          </w:p>
          <w:p>
            <w:pPr>
              <w:ind w:firstLine="482" w:firstLineChars="200"/>
              <w:rPr>
                <w:rFonts w:eastAsia="仿宋_GB2312"/>
                <w:b/>
                <w:bCs/>
                <w:sz w:val="24"/>
              </w:rPr>
            </w:pPr>
            <w:r>
              <w:rPr>
                <w:rFonts w:hint="eastAsia" w:eastAsia="仿宋_GB2312"/>
                <w:b/>
                <w:bCs/>
                <w:sz w:val="24"/>
              </w:rPr>
              <w:t>勤奋、踏实，对科学研究研究具有浓厚的兴趣。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48267AA"/>
    <w:rsid w:val="000E2C5F"/>
    <w:rsid w:val="004A78C4"/>
    <w:rsid w:val="00843DCD"/>
    <w:rsid w:val="009C33B2"/>
    <w:rsid w:val="00D272BB"/>
    <w:rsid w:val="04AE628C"/>
    <w:rsid w:val="19B732AD"/>
    <w:rsid w:val="566F1826"/>
    <w:rsid w:val="6A1515E7"/>
    <w:rsid w:val="74826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1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62</Words>
  <Characters>354</Characters>
  <Lines>2</Lines>
  <Paragraphs>1</Paragraphs>
  <TotalTime>0</TotalTime>
  <ScaleCrop>false</ScaleCrop>
  <LinksUpToDate>false</LinksUpToDate>
  <CharactersWithSpaces>415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2021-12-22T12:07:00Z</dcterms:created>
  <dc:creator>L°</dc:creator>
  <cp:lastModifiedBy>L °</cp:lastModifiedBy>
  <dcterms:modified xsi:type="dcterms:W3CDTF">2021-12-24T06:30:07Z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6BCA891046214207A2092E482199382E</vt:lpwstr>
  </property>
</Properties>
</file>